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D32AD" w14:textId="07B7E9AF" w:rsidR="003F4297" w:rsidRPr="00492C9E" w:rsidRDefault="004C3FAD" w:rsidP="00F82E39">
      <w:pPr>
        <w:spacing w:line="240" w:lineRule="auto"/>
        <w:jc w:val="center"/>
        <w:rPr>
          <w:b/>
          <w:bCs/>
          <w:sz w:val="28"/>
          <w:szCs w:val="28"/>
        </w:rPr>
      </w:pPr>
      <w:r w:rsidRPr="00492C9E">
        <w:rPr>
          <w:b/>
          <w:bCs/>
          <w:sz w:val="28"/>
          <w:szCs w:val="28"/>
        </w:rPr>
        <w:t xml:space="preserve">“Zombie” Lit </w:t>
      </w:r>
      <w:commentRangeStart w:id="0"/>
      <w:r w:rsidRPr="00492C9E">
        <w:rPr>
          <w:b/>
          <w:bCs/>
          <w:sz w:val="28"/>
          <w:szCs w:val="28"/>
        </w:rPr>
        <w:t>Review</w:t>
      </w:r>
      <w:commentRangeEnd w:id="0"/>
      <w:r w:rsidR="004C34FA" w:rsidRPr="00492C9E">
        <w:rPr>
          <w:rStyle w:val="CommentReference"/>
          <w:sz w:val="28"/>
          <w:szCs w:val="28"/>
        </w:rPr>
        <w:commentReference w:id="0"/>
      </w:r>
    </w:p>
    <w:p w14:paraId="36307150" w14:textId="484AEA21" w:rsidR="004137C6" w:rsidRPr="00492C9E" w:rsidRDefault="004137C6" w:rsidP="00F82E39">
      <w:pPr>
        <w:spacing w:after="0" w:line="480" w:lineRule="auto"/>
        <w:ind w:firstLine="720"/>
      </w:pPr>
      <w:commentRangeStart w:id="1"/>
      <w:r w:rsidRPr="00492C9E">
        <w:t xml:space="preserve">The purpose of this study </w:t>
      </w:r>
      <w:commentRangeEnd w:id="1"/>
      <w:r w:rsidR="00BC437E" w:rsidRPr="00492C9E">
        <w:rPr>
          <w:rStyle w:val="CommentReference"/>
          <w:sz w:val="24"/>
          <w:szCs w:val="24"/>
        </w:rPr>
        <w:commentReference w:id="1"/>
      </w:r>
      <w:r w:rsidRPr="00492C9E">
        <w:t xml:space="preserve">is to examine the experiences of </w:t>
      </w:r>
      <w:commentRangeStart w:id="2"/>
      <w:r w:rsidRPr="00492C9E">
        <w:t>Zombie</w:t>
      </w:r>
      <w:commentRangeEnd w:id="2"/>
      <w:r w:rsidR="00DC7A83" w:rsidRPr="00492C9E">
        <w:rPr>
          <w:rStyle w:val="CommentReference"/>
          <w:sz w:val="24"/>
          <w:szCs w:val="24"/>
        </w:rPr>
        <w:commentReference w:id="2"/>
      </w:r>
      <w:r w:rsidRPr="00492C9E">
        <w:t xml:space="preserve"> undergraduate students to understand the unique barriers and challenges that contribute to low levels of persistence and retention in this population.</w:t>
      </w:r>
      <w:r w:rsidR="004C34FA" w:rsidRPr="00492C9E">
        <w:t xml:space="preserve"> </w:t>
      </w:r>
      <w:commentRangeStart w:id="3"/>
      <w:r w:rsidR="004C34FA" w:rsidRPr="00492C9E">
        <w:t xml:space="preserve">The literature on challenges and barriers faced by </w:t>
      </w:r>
      <w:r w:rsidR="00CE143D" w:rsidRPr="00492C9E">
        <w:t>Zombie students</w:t>
      </w:r>
      <w:r w:rsidR="004C34FA" w:rsidRPr="00492C9E">
        <w:t xml:space="preserve"> reveals the following key themes</w:t>
      </w:r>
      <w:commentRangeEnd w:id="3"/>
      <w:r w:rsidR="00DC7A83" w:rsidRPr="00492C9E">
        <w:rPr>
          <w:rStyle w:val="CommentReference"/>
          <w:sz w:val="24"/>
          <w:szCs w:val="24"/>
        </w:rPr>
        <w:commentReference w:id="3"/>
      </w:r>
      <w:r w:rsidR="00715285" w:rsidRPr="00492C9E">
        <w:t xml:space="preserve">: </w:t>
      </w:r>
      <w:r w:rsidR="00CE143D" w:rsidRPr="00492C9E">
        <w:t>(1)</w:t>
      </w:r>
      <w:r w:rsidR="00DC7A83" w:rsidRPr="00492C9E">
        <w:t xml:space="preserve"> diet</w:t>
      </w:r>
      <w:r w:rsidR="00326FEF">
        <w:t>ary needs</w:t>
      </w:r>
      <w:r w:rsidR="00DC7A83" w:rsidRPr="00492C9E">
        <w:t xml:space="preserve">, (2) medical concerns, and (3) aesthetic issues. </w:t>
      </w:r>
      <w:r w:rsidR="004C34FA" w:rsidRPr="00492C9E">
        <w:t>Note that some of the literature uses the term “Zombie,” while other literature uses “the Undead”;</w:t>
      </w:r>
      <w:r w:rsidR="000046BE">
        <w:t xml:space="preserve"> following the example of Snyder (2021), </w:t>
      </w:r>
      <w:r w:rsidR="004C34FA" w:rsidRPr="00492C9E">
        <w:t>this literature review</w:t>
      </w:r>
      <w:r w:rsidR="000046BE">
        <w:t xml:space="preserve"> will mostly use the former term</w:t>
      </w:r>
      <w:r w:rsidR="004C34FA" w:rsidRPr="00492C9E">
        <w:t xml:space="preserve">, </w:t>
      </w:r>
      <w:r w:rsidR="000046BE">
        <w:t xml:space="preserve">but in some cases </w:t>
      </w:r>
      <w:r w:rsidR="004C34FA" w:rsidRPr="00492C9E">
        <w:t xml:space="preserve">both terms will be used interchangeably. </w:t>
      </w:r>
    </w:p>
    <w:p w14:paraId="03AB5245" w14:textId="184779AB" w:rsidR="004137C6" w:rsidRPr="00492C9E" w:rsidRDefault="00DC7A83" w:rsidP="00F82E39">
      <w:pPr>
        <w:spacing w:after="0" w:line="480" w:lineRule="auto"/>
        <w:rPr>
          <w:b/>
          <w:bCs/>
        </w:rPr>
      </w:pPr>
      <w:commentRangeStart w:id="4"/>
      <w:commentRangeStart w:id="5"/>
      <w:r w:rsidRPr="00492C9E">
        <w:rPr>
          <w:b/>
          <w:bCs/>
        </w:rPr>
        <w:t>Diet</w:t>
      </w:r>
      <w:commentRangeEnd w:id="4"/>
      <w:r w:rsidRPr="00492C9E">
        <w:rPr>
          <w:rStyle w:val="CommentReference"/>
          <w:sz w:val="24"/>
          <w:szCs w:val="24"/>
        </w:rPr>
        <w:commentReference w:id="4"/>
      </w:r>
      <w:r w:rsidR="00326FEF">
        <w:rPr>
          <w:b/>
          <w:bCs/>
        </w:rPr>
        <w:t>ary Needs</w:t>
      </w:r>
      <w:r w:rsidR="00864885" w:rsidRPr="00492C9E">
        <w:rPr>
          <w:b/>
          <w:bCs/>
        </w:rPr>
        <w:t xml:space="preserve"> </w:t>
      </w:r>
      <w:commentRangeEnd w:id="5"/>
      <w:r w:rsidR="009F57EA">
        <w:rPr>
          <w:rStyle w:val="CommentReference"/>
        </w:rPr>
        <w:commentReference w:id="5"/>
      </w:r>
    </w:p>
    <w:p w14:paraId="75DFA305" w14:textId="091361B4" w:rsidR="009F57EA" w:rsidRDefault="00413350" w:rsidP="00F82E39">
      <w:pPr>
        <w:spacing w:after="0" w:line="480" w:lineRule="auto"/>
        <w:ind w:firstLine="720"/>
      </w:pPr>
      <w:commentRangeStart w:id="6"/>
      <w:r>
        <w:t>A large body of literature indicates that Zombie</w:t>
      </w:r>
      <w:r w:rsidR="0014711E">
        <w:t xml:space="preserve"> undergraduate</w:t>
      </w:r>
      <w:r>
        <w:t xml:space="preserve"> students face barriers and challenges </w:t>
      </w:r>
      <w:r w:rsidR="009F57EA">
        <w:t>resulting from</w:t>
      </w:r>
      <w:r>
        <w:t xml:space="preserve"> their highly specific dietary needs (</w:t>
      </w:r>
      <w:r w:rsidR="000046BE">
        <w:t xml:space="preserve">Brooks, 2006; </w:t>
      </w:r>
      <w:proofErr w:type="spellStart"/>
      <w:r w:rsidR="000046BE">
        <w:t>Fulci</w:t>
      </w:r>
      <w:proofErr w:type="spellEnd"/>
      <w:r w:rsidR="000046BE">
        <w:t xml:space="preserve">, 1979; Kirkman &amp; Darabont, 2010; </w:t>
      </w:r>
      <w:r w:rsidR="009F57EA">
        <w:t xml:space="preserve">Levine, 2013; </w:t>
      </w:r>
      <w:r>
        <w:t>Romero, 1968, 1985).</w:t>
      </w:r>
      <w:r w:rsidR="009F57EA">
        <w:t xml:space="preserve"> </w:t>
      </w:r>
      <w:commentRangeEnd w:id="6"/>
      <w:r w:rsidR="000150AF">
        <w:rPr>
          <w:rStyle w:val="CommentReference"/>
        </w:rPr>
        <w:commentReference w:id="6"/>
      </w:r>
      <w:commentRangeStart w:id="7"/>
      <w:r w:rsidR="009F57EA">
        <w:t xml:space="preserve">It is sometimes stated that Zombies must eat brains to survive (e.g., Jackson, 1992; O’Bannon, 1985), but this claim is based mostly on stereotypes; for example, the pioneering work of George </w:t>
      </w:r>
      <w:r w:rsidR="0072530B">
        <w:t xml:space="preserve">A. </w:t>
      </w:r>
      <w:r w:rsidR="009F57EA">
        <w:t>Romero (</w:t>
      </w:r>
      <w:r w:rsidR="008E2450">
        <w:t xml:space="preserve">1968, 1978, 1985, </w:t>
      </w:r>
      <w:r w:rsidR="00EC1EB9">
        <w:t xml:space="preserve">2005, 2007, </w:t>
      </w:r>
      <w:r w:rsidR="009F57EA">
        <w:t>2009</w:t>
      </w:r>
      <w:r w:rsidR="008E2450">
        <w:t xml:space="preserve">) has extensively documented the diversity of Zombie diets, which include both live and </w:t>
      </w:r>
      <w:r w:rsidR="00D478CA">
        <w:t>recently deceased</w:t>
      </w:r>
      <w:r w:rsidR="008E2450">
        <w:t xml:space="preserve"> flesh (not restricted to brains). </w:t>
      </w:r>
      <w:commentRangeEnd w:id="7"/>
      <w:r w:rsidR="000150AF">
        <w:rPr>
          <w:rStyle w:val="CommentReference"/>
        </w:rPr>
        <w:commentReference w:id="7"/>
      </w:r>
      <w:commentRangeStart w:id="8"/>
      <w:r w:rsidR="00D478CA">
        <w:t xml:space="preserve">Stereotypes notwithstanding, such highly specific dietary needs present challenges for </w:t>
      </w:r>
      <w:r w:rsidR="001C66E0">
        <w:t xml:space="preserve">college </w:t>
      </w:r>
      <w:r w:rsidR="00D478CA">
        <w:t>campuses attempting to meet the needs of Zombie students (Seok-Jung, 2014).</w:t>
      </w:r>
      <w:commentRangeEnd w:id="8"/>
      <w:r w:rsidR="000150AF">
        <w:rPr>
          <w:rStyle w:val="CommentReference"/>
        </w:rPr>
        <w:commentReference w:id="8"/>
      </w:r>
      <w:r w:rsidR="00D478CA">
        <w:t xml:space="preserve"> </w:t>
      </w:r>
      <w:commentRangeStart w:id="9"/>
      <w:r w:rsidR="0072530B">
        <w:t xml:space="preserve">Some </w:t>
      </w:r>
      <w:r w:rsidR="001C66E0">
        <w:t xml:space="preserve">studies </w:t>
      </w:r>
      <w:r w:rsidR="00C408E8">
        <w:t xml:space="preserve">have </w:t>
      </w:r>
      <w:r w:rsidR="00B567DC">
        <w:t>found that</w:t>
      </w:r>
      <w:r w:rsidR="001C66E0">
        <w:t xml:space="preserve"> campuses</w:t>
      </w:r>
      <w:r w:rsidR="00B567DC">
        <w:t>’ efforts to</w:t>
      </w:r>
      <w:r w:rsidR="001C66E0">
        <w:t xml:space="preserve"> provide Zombie-appropriate meal choices at cafeterias were stymied by </w:t>
      </w:r>
      <w:r w:rsidR="00B567DC">
        <w:t>“discriminatory”</w:t>
      </w:r>
      <w:r w:rsidR="001C66E0">
        <w:t xml:space="preserve"> federal legislation (Fleischer, 2009, 2019; Jarmusch, 2019). </w:t>
      </w:r>
      <w:r w:rsidR="00B567DC">
        <w:t xml:space="preserve">Other studies found </w:t>
      </w:r>
      <w:r w:rsidR="00AE2E6E">
        <w:t xml:space="preserve">that </w:t>
      </w:r>
      <w:r w:rsidR="00A51481">
        <w:t xml:space="preserve">campus officials themselves </w:t>
      </w:r>
      <w:r w:rsidR="003802B3">
        <w:t xml:space="preserve">often resisted efforts to make their food offerings more Zombie-friendly, in many cases </w:t>
      </w:r>
      <w:proofErr w:type="gramStart"/>
      <w:r w:rsidR="003802B3">
        <w:t>on the basis of</w:t>
      </w:r>
      <w:proofErr w:type="gramEnd"/>
      <w:r w:rsidR="003802B3">
        <w:t xml:space="preserve"> insensitive and </w:t>
      </w:r>
      <w:r w:rsidR="00C408E8">
        <w:t>politically motivated</w:t>
      </w:r>
      <w:r w:rsidR="003802B3">
        <w:t xml:space="preserve"> views (Levine, 2013; Romero, 2009). </w:t>
      </w:r>
      <w:r w:rsidR="00F35FA0">
        <w:t xml:space="preserve">For example, </w:t>
      </w:r>
      <w:r w:rsidR="003802B3">
        <w:t xml:space="preserve">Romero (2009) and Levine (2013) have studied anti-Zombie racism and </w:t>
      </w:r>
      <w:r w:rsidR="00F35FA0">
        <w:t xml:space="preserve">its stifling effects on campus efforts to accommodate Zombie students. </w:t>
      </w:r>
      <w:commentRangeEnd w:id="9"/>
      <w:r w:rsidR="00E078BB">
        <w:rPr>
          <w:rStyle w:val="CommentReference"/>
        </w:rPr>
        <w:commentReference w:id="9"/>
      </w:r>
      <w:commentRangeStart w:id="10"/>
      <w:r w:rsidR="00C408E8">
        <w:t xml:space="preserve">Taken </w:t>
      </w:r>
      <w:r w:rsidR="00C408E8">
        <w:lastRenderedPageBreak/>
        <w:t>together, these intersecting issues (</w:t>
      </w:r>
      <w:proofErr w:type="gramStart"/>
      <w:r w:rsidR="00C408E8">
        <w:t>highly-specific</w:t>
      </w:r>
      <w:proofErr w:type="gramEnd"/>
      <w:r w:rsidR="00C408E8">
        <w:t xml:space="preserve"> dietary needs, discriminatory federal legislation, anti-Zombie racism) create serious barriers and challenges for Zombie students</w:t>
      </w:r>
      <w:r w:rsidR="008C172A">
        <w:t>, which in turn negatively impact the persistence and retention of these students in degree programs (Fresco, 2017; Sang-Ho, 2016)</w:t>
      </w:r>
      <w:r w:rsidR="00C408E8">
        <w:t>.</w:t>
      </w:r>
      <w:commentRangeEnd w:id="10"/>
      <w:r w:rsidR="000046BE">
        <w:rPr>
          <w:rStyle w:val="CommentReference"/>
        </w:rPr>
        <w:commentReference w:id="10"/>
      </w:r>
      <w:r w:rsidR="00267418">
        <w:t>..</w:t>
      </w:r>
      <w:r w:rsidR="00C408E8">
        <w:t xml:space="preserve"> </w:t>
      </w:r>
    </w:p>
    <w:p w14:paraId="093C0AA6" w14:textId="21C33AEB" w:rsidR="00A84C92" w:rsidRDefault="00267418" w:rsidP="00267418">
      <w:pPr>
        <w:spacing w:after="0" w:line="480" w:lineRule="auto"/>
        <w:ind w:firstLine="720"/>
      </w:pPr>
      <w:commentRangeStart w:id="11"/>
      <w:r>
        <w:t>…</w:t>
      </w:r>
      <w:commentRangeEnd w:id="11"/>
      <w:r>
        <w:rPr>
          <w:rStyle w:val="CommentReference"/>
        </w:rPr>
        <w:commentReference w:id="11"/>
      </w:r>
      <w:commentRangeStart w:id="12"/>
      <w:r w:rsidR="00326FEF">
        <w:t>As noted elsewhere in this study,</w:t>
      </w:r>
      <w:commentRangeEnd w:id="12"/>
      <w:r w:rsidR="00326FEF">
        <w:rPr>
          <w:rStyle w:val="CommentReference"/>
        </w:rPr>
        <w:commentReference w:id="12"/>
      </w:r>
      <w:r w:rsidR="00326FEF">
        <w:t xml:space="preserve"> research has</w:t>
      </w:r>
      <w:r w:rsidR="00987A0F">
        <w:t xml:space="preserve"> demonstrated that Zombie students have low rates of persistence and retention compared to their non-Zombie peers</w:t>
      </w:r>
      <w:r w:rsidR="00A84C92">
        <w:t>, a problem that has persisted for decades</w:t>
      </w:r>
      <w:r w:rsidR="00987A0F">
        <w:t xml:space="preserve"> (Department of Education, 2018; </w:t>
      </w:r>
      <w:bookmarkStart w:id="13" w:name="_Hlk103854997"/>
      <w:r w:rsidR="00A84C92">
        <w:t xml:space="preserve">King &amp; Romero, 1982; </w:t>
      </w:r>
      <w:r w:rsidR="00987A0F">
        <w:t>Snyder, 2004</w:t>
      </w:r>
      <w:bookmarkEnd w:id="13"/>
      <w:r w:rsidR="00A84C92">
        <w:t xml:space="preserve">). Recent work has shown that, for specific campuses, these low rates are strongly correlated with </w:t>
      </w:r>
      <w:r w:rsidR="00326FEF">
        <w:t xml:space="preserve">the above-mentioned </w:t>
      </w:r>
      <w:r w:rsidR="00A84C92">
        <w:t xml:space="preserve">inadequate attention to Zombie dietary </w:t>
      </w:r>
      <w:commentRangeStart w:id="14"/>
      <w:r w:rsidR="00A84C92">
        <w:t>needs</w:t>
      </w:r>
      <w:r>
        <w:t>…</w:t>
      </w:r>
      <w:commentRangeEnd w:id="14"/>
      <w:r>
        <w:rPr>
          <w:rStyle w:val="CommentReference"/>
        </w:rPr>
        <w:commentReference w:id="14"/>
      </w:r>
    </w:p>
    <w:p w14:paraId="5F378AB6" w14:textId="1D867164" w:rsidR="00267418" w:rsidRDefault="00267418" w:rsidP="00267418">
      <w:pPr>
        <w:spacing w:after="0" w:line="480" w:lineRule="auto"/>
        <w:rPr>
          <w:b/>
          <w:bCs/>
        </w:rPr>
      </w:pPr>
      <w:commentRangeStart w:id="15"/>
      <w:r>
        <w:rPr>
          <w:b/>
          <w:bCs/>
        </w:rPr>
        <w:t>Medical Concerns</w:t>
      </w:r>
    </w:p>
    <w:p w14:paraId="5E9903D0" w14:textId="1427BA1D" w:rsidR="00267418" w:rsidRDefault="00267418" w:rsidP="00F4083B">
      <w:pPr>
        <w:spacing w:after="0" w:line="480" w:lineRule="auto"/>
        <w:ind w:firstLine="720"/>
      </w:pPr>
      <w:r>
        <w:t xml:space="preserve">Medical concerns </w:t>
      </w:r>
      <w:r w:rsidR="00326FEF">
        <w:t xml:space="preserve">represent </w:t>
      </w:r>
      <w:r>
        <w:t xml:space="preserve">another key theme </w:t>
      </w:r>
      <w:commentRangeEnd w:id="15"/>
      <w:r w:rsidR="0014711E">
        <w:rPr>
          <w:rStyle w:val="CommentReference"/>
        </w:rPr>
        <w:commentReference w:id="15"/>
      </w:r>
      <w:r>
        <w:t>that emerges in the literature on barriers facing Zombie undergraduates (</w:t>
      </w:r>
      <w:r w:rsidR="00F4083B">
        <w:t>Sung-il et al., 2022)</w:t>
      </w:r>
      <w:r w:rsidR="00326FEF">
        <w:t>.</w:t>
      </w:r>
      <w:r w:rsidR="006512C8">
        <w:t xml:space="preserve"> Since Zombie tissues are technically “undead,” they are incapable of healing on their own, leading all Zombies, including Zombie undergraduates, to struggle with a number of chronic health conditions (</w:t>
      </w:r>
      <w:proofErr w:type="spellStart"/>
      <w:r w:rsidR="006512C8" w:rsidRPr="006512C8">
        <w:t>Damoiseaux</w:t>
      </w:r>
      <w:proofErr w:type="spellEnd"/>
      <w:r w:rsidR="006512C8" w:rsidRPr="006512C8">
        <w:t xml:space="preserve"> </w:t>
      </w:r>
      <w:r w:rsidR="006512C8">
        <w:t>&amp;</w:t>
      </w:r>
      <w:r w:rsidR="006512C8" w:rsidRPr="006512C8">
        <w:t xml:space="preserve"> </w:t>
      </w:r>
      <w:proofErr w:type="spellStart"/>
      <w:r w:rsidR="006512C8" w:rsidRPr="006512C8">
        <w:t>Hagenbeek</w:t>
      </w:r>
      <w:proofErr w:type="spellEnd"/>
      <w:r w:rsidR="006512C8">
        <w:t xml:space="preserve">, </w:t>
      </w:r>
      <w:proofErr w:type="gramStart"/>
      <w:r w:rsidR="006512C8">
        <w:t>2019)…</w:t>
      </w:r>
      <w:proofErr w:type="gramEnd"/>
      <w:r w:rsidR="006512C8">
        <w:t xml:space="preserve"> </w:t>
      </w:r>
    </w:p>
    <w:p w14:paraId="7A0F9C6B" w14:textId="21F38790" w:rsidR="006512C8" w:rsidRDefault="006512C8" w:rsidP="006512C8">
      <w:pPr>
        <w:spacing w:after="0" w:line="480" w:lineRule="auto"/>
      </w:pPr>
      <w:r>
        <w:rPr>
          <w:b/>
          <w:bCs/>
        </w:rPr>
        <w:t>Aesthetic Issues</w:t>
      </w:r>
      <w:commentRangeStart w:id="16"/>
      <w:r w:rsidR="000F6F30" w:rsidRPr="000F6F30">
        <w:t>…</w:t>
      </w:r>
      <w:commentRangeEnd w:id="16"/>
      <w:r w:rsidR="000F6F30">
        <w:rPr>
          <w:rStyle w:val="CommentReference"/>
        </w:rPr>
        <w:commentReference w:id="16"/>
      </w:r>
    </w:p>
    <w:p w14:paraId="16A45471" w14:textId="162F6478" w:rsidR="000F6F30" w:rsidRDefault="000F6F30" w:rsidP="006512C8">
      <w:pPr>
        <w:spacing w:after="0" w:line="480" w:lineRule="auto"/>
        <w:rPr>
          <w:b/>
          <w:bCs/>
        </w:rPr>
      </w:pPr>
      <w:r>
        <w:t>Aesthetic issues represent another major theme across the literature (</w:t>
      </w:r>
      <w:r w:rsidRPr="000F6F30">
        <w:t xml:space="preserve">King &amp; Romero, 1982; </w:t>
      </w:r>
      <w:r>
        <w:t xml:space="preserve">Romero, 2009; </w:t>
      </w:r>
      <w:r w:rsidRPr="000F6F30">
        <w:t>Seok-Jung, 2014</w:t>
      </w:r>
      <w:r>
        <w:t xml:space="preserve">; </w:t>
      </w:r>
      <w:r w:rsidRPr="000F6F30">
        <w:t>Snyder, 2004</w:t>
      </w:r>
      <w:r>
        <w:t xml:space="preserve">). </w:t>
      </w:r>
      <w:r w:rsidR="00442524">
        <w:t>“</w:t>
      </w:r>
      <w:commentRangeStart w:id="17"/>
      <w:r w:rsidR="00645F5C">
        <w:t>Aesthetic issues</w:t>
      </w:r>
      <w:r w:rsidR="00442524">
        <w:t>”</w:t>
      </w:r>
      <w:r w:rsidR="00645F5C">
        <w:t xml:space="preserve"> refer to the challenges caused by the perception, prevalent among non-Zombie people, that Zombie students’ decayed appearance is aesthetically unpleasing in ways that disrupt the learning environment</w:t>
      </w:r>
      <w:commentRangeEnd w:id="17"/>
      <w:r w:rsidR="00442524">
        <w:rPr>
          <w:rStyle w:val="CommentReference"/>
        </w:rPr>
        <w:commentReference w:id="17"/>
      </w:r>
      <w:r w:rsidR="00645F5C">
        <w:t xml:space="preserve"> (</w:t>
      </w:r>
      <w:proofErr w:type="spellStart"/>
      <w:r w:rsidR="008C3AF1" w:rsidRPr="006512C8">
        <w:t>Damoiseaux</w:t>
      </w:r>
      <w:proofErr w:type="spellEnd"/>
      <w:r w:rsidR="008C3AF1" w:rsidRPr="006512C8">
        <w:t xml:space="preserve"> </w:t>
      </w:r>
      <w:r w:rsidR="008C3AF1">
        <w:t>&amp;</w:t>
      </w:r>
      <w:r w:rsidR="008C3AF1" w:rsidRPr="006512C8">
        <w:t xml:space="preserve"> </w:t>
      </w:r>
      <w:proofErr w:type="spellStart"/>
      <w:r w:rsidR="008C3AF1" w:rsidRPr="006512C8">
        <w:t>Hagenbeek</w:t>
      </w:r>
      <w:proofErr w:type="spellEnd"/>
      <w:r w:rsidR="008C3AF1">
        <w:t>, 2019</w:t>
      </w:r>
      <w:r w:rsidR="008C3AF1">
        <w:t xml:space="preserve">; </w:t>
      </w:r>
      <w:r w:rsidR="004123B3">
        <w:t xml:space="preserve">Sung-il et al., </w:t>
      </w:r>
      <w:proofErr w:type="gramStart"/>
      <w:r w:rsidR="004123B3">
        <w:t>2022</w:t>
      </w:r>
      <w:r w:rsidR="004123B3">
        <w:t>)</w:t>
      </w:r>
      <w:r w:rsidR="00442524">
        <w:t>…</w:t>
      </w:r>
      <w:proofErr w:type="gramEnd"/>
      <w:r w:rsidR="00442524">
        <w:t>.</w:t>
      </w:r>
    </w:p>
    <w:p w14:paraId="368A0EB3" w14:textId="77777777" w:rsidR="006512C8" w:rsidRDefault="006512C8" w:rsidP="006512C8">
      <w:pPr>
        <w:spacing w:after="0" w:line="480" w:lineRule="auto"/>
        <w:rPr>
          <w:b/>
          <w:bCs/>
        </w:rPr>
      </w:pPr>
    </w:p>
    <w:p w14:paraId="64DA32D2" w14:textId="77777777" w:rsidR="006512C8" w:rsidRPr="006512C8" w:rsidRDefault="006512C8" w:rsidP="006512C8">
      <w:pPr>
        <w:spacing w:after="0" w:line="480" w:lineRule="auto"/>
        <w:rPr>
          <w:b/>
          <w:bCs/>
        </w:rPr>
      </w:pPr>
    </w:p>
    <w:p w14:paraId="3D3F744D" w14:textId="383C4C7F" w:rsidR="00EE2104" w:rsidRPr="00492C9E" w:rsidRDefault="00EE2104" w:rsidP="00267418">
      <w:pPr>
        <w:spacing w:after="0" w:line="480" w:lineRule="auto"/>
      </w:pPr>
    </w:p>
    <w:p w14:paraId="31915943" w14:textId="77777777" w:rsidR="00EE2104" w:rsidRDefault="00EE2104" w:rsidP="00F82E39">
      <w:pPr>
        <w:spacing w:after="0" w:line="240" w:lineRule="auto"/>
        <w:ind w:firstLine="720"/>
        <w:rPr>
          <w:rFonts w:ascii="Cambria" w:hAnsi="Cambria" w:cs="Arial"/>
        </w:rPr>
      </w:pPr>
    </w:p>
    <w:p w14:paraId="3C2C715E" w14:textId="77777777" w:rsidR="00C4487C" w:rsidRDefault="00C4487C" w:rsidP="00F82E39">
      <w:pPr>
        <w:spacing w:after="0" w:line="240" w:lineRule="auto"/>
        <w:ind w:firstLine="720"/>
        <w:rPr>
          <w:rFonts w:ascii="Cambria" w:hAnsi="Cambria" w:cs="Arial"/>
        </w:rPr>
      </w:pPr>
    </w:p>
    <w:p w14:paraId="077CF5B2" w14:textId="77777777" w:rsidR="009E6739" w:rsidRDefault="009E6739" w:rsidP="00F82E39">
      <w:pPr>
        <w:spacing w:after="0" w:line="240" w:lineRule="auto"/>
        <w:ind w:firstLine="720"/>
        <w:rPr>
          <w:rFonts w:ascii="Cambria" w:hAnsi="Cambria" w:cs="Arial"/>
        </w:rPr>
      </w:pPr>
    </w:p>
    <w:p w14:paraId="44997EA3" w14:textId="77777777" w:rsidR="003F4297" w:rsidRDefault="003F4297" w:rsidP="00F82E39">
      <w:pPr>
        <w:spacing w:after="0"/>
      </w:pPr>
    </w:p>
    <w:sectPr w:rsidR="003F429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Graduate Writing Specialist" w:date="2022-05-12T19:48:00Z" w:initials="GWS">
    <w:p w14:paraId="208B678D" w14:textId="0465159C" w:rsidR="004C34FA" w:rsidRPr="00DC7A83" w:rsidRDefault="004C34FA" w:rsidP="004C34FA">
      <w:pPr>
        <w:spacing w:line="240" w:lineRule="auto"/>
        <w:ind w:firstLine="720"/>
        <w:rPr>
          <w:rFonts w:ascii="Cambria" w:hAnsi="Cambria" w:cs="Arial"/>
        </w:rPr>
      </w:pPr>
      <w:r>
        <w:rPr>
          <w:rStyle w:val="CommentReference"/>
        </w:rPr>
        <w:annotationRef/>
      </w:r>
      <w:r>
        <w:rPr>
          <w:rFonts w:ascii="Cambria" w:hAnsi="Cambria" w:cs="Arial"/>
        </w:rPr>
        <w:t xml:space="preserve">In </w:t>
      </w:r>
      <w:r w:rsidR="00DC7A83">
        <w:rPr>
          <w:rFonts w:ascii="Cambria" w:hAnsi="Cambria" w:cs="Arial"/>
        </w:rPr>
        <w:t>my other example, the</w:t>
      </w:r>
      <w:r w:rsidR="00DC7A83" w:rsidRPr="007C3AF0">
        <w:rPr>
          <w:rFonts w:ascii="Cambria" w:hAnsi="Cambria" w:cs="Arial"/>
        </w:rPr>
        <w:t xml:space="preserve"> “Ice</w:t>
      </w:r>
      <w:r w:rsidRPr="007C3AF0">
        <w:rPr>
          <w:rFonts w:ascii="Cambria" w:hAnsi="Cambria" w:cs="Arial"/>
        </w:rPr>
        <w:t xml:space="preserve"> Cream Lit Review”</w:t>
      </w:r>
      <w:r>
        <w:rPr>
          <w:rFonts w:ascii="Cambria" w:hAnsi="Cambria" w:cs="Arial"/>
        </w:rPr>
        <w:t xml:space="preserve"> handout, I present a fictional debate over which flavor of ice cream is the best</w:t>
      </w:r>
      <w:r w:rsidR="00413350">
        <w:rPr>
          <w:rFonts w:ascii="Cambria" w:hAnsi="Cambria" w:cs="Arial"/>
        </w:rPr>
        <w:t xml:space="preserve"> </w:t>
      </w:r>
      <w:r>
        <w:rPr>
          <w:rFonts w:ascii="Cambria" w:hAnsi="Cambria" w:cs="Arial"/>
        </w:rPr>
        <w:t xml:space="preserve">and show you how to construct a lit review </w:t>
      </w:r>
      <w:r w:rsidRPr="007C3AF0">
        <w:rPr>
          <w:rFonts w:ascii="Cambria" w:hAnsi="Cambria" w:cs="Arial"/>
          <w:b/>
          <w:bCs/>
        </w:rPr>
        <w:t xml:space="preserve">that </w:t>
      </w:r>
      <w:r w:rsidR="00DC7A83">
        <w:rPr>
          <w:rFonts w:ascii="Cambria" w:hAnsi="Cambria" w:cs="Arial"/>
          <w:b/>
          <w:bCs/>
        </w:rPr>
        <w:t>discusses</w:t>
      </w:r>
      <w:r w:rsidRPr="007C3AF0">
        <w:rPr>
          <w:rFonts w:ascii="Cambria" w:hAnsi="Cambria" w:cs="Arial"/>
          <w:b/>
          <w:bCs/>
        </w:rPr>
        <w:t xml:space="preserve"> the different positions in the debate</w:t>
      </w:r>
      <w:r>
        <w:rPr>
          <w:rFonts w:ascii="Cambria" w:hAnsi="Cambria" w:cs="Arial"/>
        </w:rPr>
        <w:t xml:space="preserve"> (</w:t>
      </w:r>
      <w:r w:rsidR="00DC7A83">
        <w:rPr>
          <w:rFonts w:ascii="Cambria" w:hAnsi="Cambria" w:cs="Arial"/>
        </w:rPr>
        <w:t xml:space="preserve">e.g., </w:t>
      </w:r>
      <w:r>
        <w:rPr>
          <w:rFonts w:ascii="Cambria" w:hAnsi="Cambria" w:cs="Arial"/>
        </w:rPr>
        <w:t xml:space="preserve">“chocolate advocates are argue this, while vanilla advocates argue that”). However, often the literature is not centered on a debate. Instead, it’s simply </w:t>
      </w:r>
      <w:r w:rsidRPr="00DC7A83">
        <w:rPr>
          <w:rFonts w:ascii="Cambria" w:hAnsi="Cambria" w:cs="Arial"/>
        </w:rPr>
        <w:t>centered around a</w:t>
      </w:r>
      <w:r w:rsidRPr="004C34FA">
        <w:rPr>
          <w:rFonts w:ascii="Cambria" w:hAnsi="Cambria" w:cs="Arial"/>
          <w:b/>
          <w:bCs/>
        </w:rPr>
        <w:t xml:space="preserve"> topic</w:t>
      </w:r>
      <w:r>
        <w:rPr>
          <w:rFonts w:ascii="Cambria" w:hAnsi="Cambria" w:cs="Arial"/>
        </w:rPr>
        <w:t xml:space="preserve"> (in this facetious example, the topic is “barriers and challenges faced by Zombie undergrads”), about which the literature makes a lot of different statements and observations. As you read through (or skim) the literature on the topic, you’ll notice that several papers will agree on certain key points</w:t>
      </w:r>
      <w:r w:rsidR="00DC7A83">
        <w:rPr>
          <w:rFonts w:ascii="Cambria" w:hAnsi="Cambria" w:cs="Arial"/>
        </w:rPr>
        <w:t xml:space="preserve">. In other words, these points will be repeatedly discussed across multiple papers. These key points, or </w:t>
      </w:r>
      <w:r w:rsidR="00DC7A83" w:rsidRPr="00DC7A83">
        <w:rPr>
          <w:rFonts w:ascii="Cambria" w:hAnsi="Cambria" w:cs="Arial"/>
          <w:b/>
          <w:bCs/>
        </w:rPr>
        <w:t>themes</w:t>
      </w:r>
      <w:r w:rsidR="00DC7A83">
        <w:rPr>
          <w:rFonts w:ascii="Cambria" w:hAnsi="Cambria" w:cs="Arial"/>
        </w:rPr>
        <w:t xml:space="preserve">, are the subject of a </w:t>
      </w:r>
      <w:r w:rsidR="00DC7A83">
        <w:rPr>
          <w:rFonts w:ascii="Cambria" w:hAnsi="Cambria" w:cs="Arial"/>
          <w:b/>
          <w:bCs/>
        </w:rPr>
        <w:t xml:space="preserve">theme-based literature review. </w:t>
      </w:r>
      <w:r w:rsidR="00DC7A83">
        <w:rPr>
          <w:rFonts w:ascii="Cambria" w:hAnsi="Cambria" w:cs="Arial"/>
        </w:rPr>
        <w:t xml:space="preserve">This handout models what a theme-based literature </w:t>
      </w:r>
      <w:r w:rsidR="00D462D8">
        <w:rPr>
          <w:rFonts w:ascii="Cambria" w:hAnsi="Cambria" w:cs="Arial"/>
        </w:rPr>
        <w:t xml:space="preserve">review </w:t>
      </w:r>
      <w:r w:rsidR="00DC7A83">
        <w:rPr>
          <w:rFonts w:ascii="Cambria" w:hAnsi="Cambria" w:cs="Arial"/>
        </w:rPr>
        <w:t xml:space="preserve">might look like. </w:t>
      </w:r>
    </w:p>
    <w:p w14:paraId="489729E3" w14:textId="1F10525C" w:rsidR="004C34FA" w:rsidRDefault="004C34FA">
      <w:pPr>
        <w:pStyle w:val="CommentText"/>
      </w:pPr>
    </w:p>
  </w:comment>
  <w:comment w:id="1" w:author="Graduate Writing Specialist" w:date="2022-05-12T19:54:00Z" w:initials="GWS">
    <w:p w14:paraId="0BFECD08" w14:textId="0AB48E9E" w:rsidR="00BC437E" w:rsidRDefault="00BC437E">
      <w:pPr>
        <w:pStyle w:val="CommentText"/>
      </w:pPr>
      <w:r>
        <w:rPr>
          <w:rStyle w:val="CommentReference"/>
        </w:rPr>
        <w:annotationRef/>
      </w:r>
      <w:r>
        <w:t xml:space="preserve">At the beginning of a lit review, it’s often a good idea to briefly remind the reader of the paper’s purpose. </w:t>
      </w:r>
    </w:p>
  </w:comment>
  <w:comment w:id="2" w:author="Graduate Writing Specialist" w:date="2022-05-17T12:05:00Z" w:initials="GWS">
    <w:p w14:paraId="2052397D" w14:textId="741BAFE7" w:rsidR="00DC7A83" w:rsidRDefault="00DC7A83">
      <w:pPr>
        <w:pStyle w:val="CommentText"/>
      </w:pPr>
      <w:r>
        <w:rPr>
          <w:rStyle w:val="CommentReference"/>
        </w:rPr>
        <w:annotationRef/>
      </w:r>
      <w:r>
        <w:t xml:space="preserve">The APA handbook recommends capitalizing “terms for specific groups” of people. </w:t>
      </w:r>
    </w:p>
  </w:comment>
  <w:comment w:id="3" w:author="Graduate Writing Specialist" w:date="2022-05-17T12:08:00Z" w:initials="GWS">
    <w:p w14:paraId="292FE5F4" w14:textId="57B20281" w:rsidR="00DC7A83" w:rsidRDefault="00DC7A83">
      <w:pPr>
        <w:pStyle w:val="CommentText"/>
      </w:pPr>
      <w:r>
        <w:rPr>
          <w:rStyle w:val="CommentReference"/>
        </w:rPr>
        <w:annotationRef/>
      </w:r>
      <w:r>
        <w:t>This is a good way to “be kind” to your reader—giving the reader a clear, direct, and concise outline of what your lit review is going to cover.</w:t>
      </w:r>
    </w:p>
  </w:comment>
  <w:comment w:id="4" w:author="Graduate Writing Specialist" w:date="2022-05-17T12:09:00Z" w:initials="GWS">
    <w:p w14:paraId="633F92A4" w14:textId="7B021A29" w:rsidR="00DC7A83" w:rsidRDefault="00DC7A83">
      <w:pPr>
        <w:pStyle w:val="CommentText"/>
      </w:pPr>
      <w:r>
        <w:rPr>
          <w:rStyle w:val="CommentReference"/>
        </w:rPr>
        <w:annotationRef/>
      </w:r>
      <w:r>
        <w:t xml:space="preserve">Here, I’m assuming that this </w:t>
      </w:r>
      <w:r w:rsidR="00864885">
        <w:t xml:space="preserve">lit review is just a section of a larger research paper (e.g., a thesis). So, the whole paper is divided into major sections that have “level-one” headings. Examples of these sections/headings are “Intro,” “Lit Review,” “Methods,” “Results,” and “Discussion.” Level-one headings are bold and centered. In contrast, “Diet” </w:t>
      </w:r>
      <w:r>
        <w:t>is a level-two heading</w:t>
      </w:r>
      <w:r w:rsidR="00864885">
        <w:t xml:space="preserve">, because the “Diet” section is </w:t>
      </w:r>
      <w:r w:rsidR="000F6F30">
        <w:t>a subsection</w:t>
      </w:r>
      <w:r>
        <w:t xml:space="preserve"> of </w:t>
      </w:r>
      <w:r w:rsidR="00864885">
        <w:t>a</w:t>
      </w:r>
      <w:r>
        <w:t xml:space="preserve"> </w:t>
      </w:r>
      <w:r w:rsidR="00864885">
        <w:t xml:space="preserve">larger </w:t>
      </w:r>
      <w:r>
        <w:t xml:space="preserve">level-one </w:t>
      </w:r>
      <w:r w:rsidR="00864885">
        <w:t xml:space="preserve">section. Level-two headings are bold and left-aligned (for more info on APA-style headings, see </w:t>
      </w:r>
      <w:hyperlink r:id="rId1" w:history="1">
        <w:r w:rsidR="00864885" w:rsidRPr="00864885">
          <w:rPr>
            <w:rStyle w:val="Hyperlink"/>
          </w:rPr>
          <w:t>this page</w:t>
        </w:r>
      </w:hyperlink>
      <w:r w:rsidR="00864885">
        <w:t>).</w:t>
      </w:r>
    </w:p>
    <w:p w14:paraId="1FAC846E" w14:textId="3ADA496C" w:rsidR="00864885" w:rsidRDefault="00864885">
      <w:pPr>
        <w:pStyle w:val="CommentText"/>
      </w:pPr>
    </w:p>
  </w:comment>
  <w:comment w:id="5" w:author="Graduate Writing Specialist" w:date="2022-05-17T12:20:00Z" w:initials="GWS">
    <w:p w14:paraId="725BF499" w14:textId="0A969C3E" w:rsidR="009F57EA" w:rsidRDefault="009F57EA">
      <w:pPr>
        <w:pStyle w:val="CommentText"/>
      </w:pPr>
      <w:r>
        <w:rPr>
          <w:rStyle w:val="CommentReference"/>
        </w:rPr>
        <w:annotationRef/>
      </w:r>
      <w:r>
        <w:t>Once you’ve stated what your themes are, you can dive right into subsections that focus on the themes. No need for “fluff”—just be clear and direct (of course, this advice might need to be modified based on your instructor’s guidelines, as always)</w:t>
      </w:r>
    </w:p>
  </w:comment>
  <w:comment w:id="6" w:author="Graduate Writing Specialist" w:date="2022-05-17T13:12:00Z" w:initials="GWS">
    <w:p w14:paraId="7F345509" w14:textId="693C8358" w:rsidR="000150AF" w:rsidRDefault="000150AF">
      <w:pPr>
        <w:pStyle w:val="CommentText"/>
      </w:pPr>
      <w:r>
        <w:rPr>
          <w:rStyle w:val="CommentReference"/>
        </w:rPr>
        <w:annotationRef/>
      </w:r>
      <w:r>
        <w:t xml:space="preserve">This sentence sets the stage by re-stating the main theme of the section (i.e., that Zombie students face barriers caused by diet). Because it </w:t>
      </w:r>
      <w:proofErr w:type="gramStart"/>
      <w:r>
        <w:t>says</w:t>
      </w:r>
      <w:proofErr w:type="gramEnd"/>
      <w:r>
        <w:t xml:space="preserve"> “a large body of literature” (similar to “numerous studies” or “several scholars”), it needs to include a long citation that lists multiple studies. Following APA guidelines, these studies are listed alphabetically by the authors’ last names. </w:t>
      </w:r>
    </w:p>
  </w:comment>
  <w:comment w:id="7" w:author="Graduate Writing Specialist" w:date="2022-05-17T13:16:00Z" w:initials="GWS">
    <w:p w14:paraId="3E2FADF1" w14:textId="3F9C4CEE" w:rsidR="000150AF" w:rsidRDefault="000150AF">
      <w:pPr>
        <w:pStyle w:val="CommentText"/>
      </w:pPr>
      <w:r>
        <w:rPr>
          <w:rStyle w:val="CommentReference"/>
        </w:rPr>
        <w:annotationRef/>
      </w:r>
      <w:r>
        <w:t xml:space="preserve">These sentences are elaborating on the theme and clearing up a misconception. </w:t>
      </w:r>
    </w:p>
  </w:comment>
  <w:comment w:id="8" w:author="Graduate Writing Specialist" w:date="2022-05-17T13:16:00Z" w:initials="GWS">
    <w:p w14:paraId="6A40294A" w14:textId="579B4524" w:rsidR="000150AF" w:rsidRDefault="000150AF">
      <w:pPr>
        <w:pStyle w:val="CommentText"/>
      </w:pPr>
      <w:r>
        <w:rPr>
          <w:rStyle w:val="CommentReference"/>
        </w:rPr>
        <w:annotationRef/>
      </w:r>
      <w:r>
        <w:t xml:space="preserve">After the elaboration, this sentence transitions (“Stereotypes </w:t>
      </w:r>
      <w:proofErr w:type="gramStart"/>
      <w:r>
        <w:t>notwithstanding,…</w:t>
      </w:r>
      <w:proofErr w:type="gramEnd"/>
      <w:r>
        <w:t xml:space="preserve">”) back to discussing the main theme.  </w:t>
      </w:r>
    </w:p>
  </w:comment>
  <w:comment w:id="9" w:author="Graduate Writing Specialist" w:date="2022-05-17T13:23:00Z" w:initials="GWS">
    <w:p w14:paraId="25B72338" w14:textId="7A90B848" w:rsidR="00E078BB" w:rsidRDefault="00E078BB">
      <w:pPr>
        <w:pStyle w:val="CommentText"/>
      </w:pPr>
      <w:r>
        <w:rPr>
          <w:rStyle w:val="CommentReference"/>
        </w:rPr>
        <w:annotationRef/>
      </w:r>
      <w:r>
        <w:t xml:space="preserve">These sentences offer examples, or evidence, that support the main theme. Remember that the core of an argument is a </w:t>
      </w:r>
      <w:r w:rsidRPr="000150AF">
        <w:rPr>
          <w:b/>
          <w:bCs/>
        </w:rPr>
        <w:t>claim</w:t>
      </w:r>
      <w:r>
        <w:t xml:space="preserve"> </w:t>
      </w:r>
      <w:r w:rsidRPr="000150AF">
        <w:t>that is</w:t>
      </w:r>
      <w:r>
        <w:t xml:space="preserve"> based on reasons, which in turn are supported by </w:t>
      </w:r>
      <w:r w:rsidRPr="000150AF">
        <w:rPr>
          <w:b/>
          <w:bCs/>
        </w:rPr>
        <w:t>evidence.</w:t>
      </w:r>
      <w:r>
        <w:t xml:space="preserve"> So, your lit review has a big main </w:t>
      </w:r>
      <w:r w:rsidRPr="00E078BB">
        <w:rPr>
          <w:b/>
          <w:bCs/>
        </w:rPr>
        <w:t>claim</w:t>
      </w:r>
      <w:r>
        <w:t xml:space="preserve"> (or thesis statement): “Zombie students face challenges that affect their persistence and retention.” This claim is based on </w:t>
      </w:r>
      <w:r w:rsidRPr="00E078BB">
        <w:rPr>
          <w:b/>
          <w:bCs/>
        </w:rPr>
        <w:t>reasons</w:t>
      </w:r>
      <w:r>
        <w:t xml:space="preserve">, for example, “One reason is that they face challenges related to diet.” In turn, each reason is based on </w:t>
      </w:r>
      <w:r w:rsidRPr="00E078BB">
        <w:rPr>
          <w:b/>
          <w:bCs/>
        </w:rPr>
        <w:t>evidence</w:t>
      </w:r>
      <w:r>
        <w:t>, for example: “Several studies have found that campus officials are discriminatory.”</w:t>
      </w:r>
    </w:p>
  </w:comment>
  <w:comment w:id="10" w:author="Graduate Writing Specialist" w:date="2022-05-17T13:03:00Z" w:initials="GWS">
    <w:p w14:paraId="0A7FF72D" w14:textId="739F5A7B" w:rsidR="000046BE" w:rsidRDefault="000046BE">
      <w:pPr>
        <w:pStyle w:val="CommentText"/>
      </w:pPr>
      <w:r>
        <w:rPr>
          <w:rStyle w:val="CommentReference"/>
        </w:rPr>
        <w:annotationRef/>
      </w:r>
      <w:r w:rsidR="00E078BB">
        <w:rPr>
          <w:rStyle w:val="CommentReference"/>
        </w:rPr>
        <w:t>This sentence reminds the reader how the evidence (in the previous sentences) connects back to the main claim of the paper (that these barriers, such as diet, affect the persistence and retention of Zombie students). Don’t let readers get lost in the details—</w:t>
      </w:r>
      <w:r w:rsidR="00E078BB">
        <w:t xml:space="preserve">remind them what your main point is. </w:t>
      </w:r>
    </w:p>
  </w:comment>
  <w:comment w:id="11" w:author="Graduate Writing Specialist" w:date="2022-05-17T13:53:00Z" w:initials="GWS">
    <w:p w14:paraId="00433874" w14:textId="12C8A47B" w:rsidR="00267418" w:rsidRDefault="00267418">
      <w:pPr>
        <w:pStyle w:val="CommentText"/>
      </w:pPr>
      <w:r>
        <w:rPr>
          <w:rStyle w:val="CommentReference"/>
        </w:rPr>
        <w:annotationRef/>
      </w:r>
      <w:r>
        <w:t>In this “deleted” part (it’s not really deleted, I just didn’t make up anything here), the author would explain in more detail the “serious barriers and challenges” mentioned in the previous paragraph.</w:t>
      </w:r>
    </w:p>
  </w:comment>
  <w:comment w:id="12" w:author="Graduate Writing Specialist" w:date="2022-05-17T14:49:00Z" w:initials="GWS">
    <w:p w14:paraId="59B81785" w14:textId="4F6307D1" w:rsidR="00326FEF" w:rsidRDefault="00326FEF">
      <w:pPr>
        <w:pStyle w:val="CommentText"/>
      </w:pPr>
      <w:r>
        <w:rPr>
          <w:rStyle w:val="CommentReference"/>
        </w:rPr>
        <w:annotationRef/>
      </w:r>
      <w:r>
        <w:t xml:space="preserve">Readers expect that each new sentence will convey new information. So, if you mention a fact or claim that you’ve discussed already, it’s a good idea to avoid confusion by acknowledging that you’ve mentioned it before. </w:t>
      </w:r>
    </w:p>
  </w:comment>
  <w:comment w:id="14" w:author="Graduate Writing Specialist" w:date="2022-05-17T13:51:00Z" w:initials="GWS">
    <w:p w14:paraId="72DFE5DE" w14:textId="184DB8D6" w:rsidR="00267418" w:rsidRDefault="00267418">
      <w:pPr>
        <w:pStyle w:val="CommentText"/>
      </w:pPr>
      <w:r>
        <w:rPr>
          <w:rStyle w:val="CommentReference"/>
        </w:rPr>
        <w:annotationRef/>
      </w:r>
      <w:r>
        <w:t xml:space="preserve">This section is transitioning to a discussion of how the “serious barriers and challenges” discussed above contribute to the problem of persistence and retention. This is not the only way to organize the discussion, of course—it’s just one possibility. </w:t>
      </w:r>
    </w:p>
  </w:comment>
  <w:comment w:id="15" w:author="Graduate Writing Specialist" w:date="2022-05-17T14:01:00Z" w:initials="GWS">
    <w:p w14:paraId="669D1945" w14:textId="4E163C3E" w:rsidR="0014711E" w:rsidRDefault="0014711E">
      <w:pPr>
        <w:pStyle w:val="CommentText"/>
      </w:pPr>
      <w:r>
        <w:rPr>
          <w:rStyle w:val="CommentReference"/>
        </w:rPr>
        <w:annotationRef/>
      </w:r>
      <w:r>
        <w:t xml:space="preserve">This section introduces the next key theme of the lit review. Note that you can use some variability in terminology, </w:t>
      </w:r>
      <w:proofErr w:type="gramStart"/>
      <w:r>
        <w:t>as long as</w:t>
      </w:r>
      <w:proofErr w:type="gramEnd"/>
      <w:r>
        <w:t xml:space="preserve"> there’s no potential for confusion (e.g., “Zombie students” can be used as shorthand for “Zombie undergraduate students” as long as it’s clear that all the studies focus on Zombie undergrads only—not, for example, Zombie high school students). </w:t>
      </w:r>
      <w:proofErr w:type="gramStart"/>
      <w:r>
        <w:t>But,</w:t>
      </w:r>
      <w:proofErr w:type="gramEnd"/>
      <w:r>
        <w:t xml:space="preserve"> you should keep the names of key themes as consistent as possible. The introductory paragraph on the first page used “medical concerns,” so it’s probably best to keep using this term rather than “medical issues” or “medical problems” (because the reader might ask: Are concerns the same thing as problems? Or are these separate categories?). In academic writing, it’s better to be clear and repetitive than unclear and unrepetitive. </w:t>
      </w:r>
    </w:p>
  </w:comment>
  <w:comment w:id="16" w:author="Graduate Writing Specialist" w:date="2022-05-19T12:15:00Z" w:initials="GWS">
    <w:p w14:paraId="4266EE09" w14:textId="3D7FC11C" w:rsidR="000F6F30" w:rsidRDefault="000F6F30">
      <w:pPr>
        <w:pStyle w:val="CommentText"/>
      </w:pPr>
      <w:r>
        <w:rPr>
          <w:rStyle w:val="CommentReference"/>
        </w:rPr>
        <w:annotationRef/>
      </w:r>
      <w:r>
        <w:t>This is the third theme for this s</w:t>
      </w:r>
      <w:r w:rsidR="00645F5C">
        <w:t>h</w:t>
      </w:r>
      <w:r>
        <w:t>ort lit</w:t>
      </w:r>
      <w:r w:rsidR="00645F5C">
        <w:t>erature</w:t>
      </w:r>
      <w:r>
        <w:t xml:space="preserve"> review. </w:t>
      </w:r>
    </w:p>
  </w:comment>
  <w:comment w:id="17" w:author="Graduate Writing Specialist" w:date="2022-05-19T12:19:00Z" w:initials="GWS">
    <w:p w14:paraId="5C91A0FD" w14:textId="77777777" w:rsidR="008E6E1A" w:rsidRDefault="00442524">
      <w:pPr>
        <w:pStyle w:val="CommentText"/>
      </w:pPr>
      <w:r>
        <w:rPr>
          <w:rStyle w:val="CommentReference"/>
        </w:rPr>
        <w:annotationRef/>
      </w:r>
      <w:r>
        <w:t xml:space="preserve">Make sure to define any key terms that might not be familiar to your reader. For grad students, I recommend that you imagine your reader to be a fellow grad student in your field who is </w:t>
      </w:r>
      <w:r w:rsidR="008E6E1A">
        <w:t xml:space="preserve">not well-read on the topic of your paper. In other words, your reader has a general knowledge of the field and its </w:t>
      </w:r>
      <w:proofErr w:type="gramStart"/>
      <w:r w:rsidR="008E6E1A">
        <w:t>methods, but</w:t>
      </w:r>
      <w:proofErr w:type="gramEnd"/>
      <w:r w:rsidR="008E6E1A">
        <w:t xml:space="preserve"> is maybe ignorant of the specific topic that you’re writing about. It can also be helpful to follow the advice of the philosopher </w:t>
      </w:r>
      <w:r w:rsidR="008E6E1A" w:rsidRPr="008E6E1A">
        <w:t>Jim Pryor</w:t>
      </w:r>
      <w:r w:rsidR="008E6E1A">
        <w:t xml:space="preserve">: </w:t>
      </w:r>
    </w:p>
    <w:p w14:paraId="174DCB10" w14:textId="77777777" w:rsidR="008E6E1A" w:rsidRDefault="008E6E1A">
      <w:pPr>
        <w:pStyle w:val="CommentText"/>
      </w:pPr>
    </w:p>
    <w:p w14:paraId="49A9448F" w14:textId="77777777" w:rsidR="008E6E1A" w:rsidRDefault="008E6E1A">
      <w:pPr>
        <w:pStyle w:val="CommentText"/>
      </w:pPr>
      <w:r>
        <w:t>“</w:t>
      </w:r>
      <w:r w:rsidRPr="008E6E1A">
        <w:rPr>
          <w:b/>
          <w:bCs/>
        </w:rPr>
        <w:t>pretend that your reader is lazy, stupid, and mean.</w:t>
      </w:r>
      <w:r w:rsidRPr="008E6E1A">
        <w:t xml:space="preserve"> He's lazy in that he doesn't want to figure out what your convoluted sentences are supposed to mean, and he doesn't want to figure out what your argument is, if it's not already obvious. He's stupid, so you </w:t>
      </w:r>
      <w:proofErr w:type="gramStart"/>
      <w:r w:rsidRPr="008E6E1A">
        <w:t>have to</w:t>
      </w:r>
      <w:proofErr w:type="gramEnd"/>
      <w:r w:rsidRPr="008E6E1A">
        <w:t xml:space="preserve"> explain everything you say to him in simple, bite-sized pieces. And he's mean, so he's not going to read your paper charitably. (For example, if something you say admits of more than one interpretation, he's going to assume you meant the less plausible thing.)</w:t>
      </w:r>
      <w:r>
        <w:t xml:space="preserve">” </w:t>
      </w:r>
      <w:hyperlink r:id="rId2" w:history="1">
        <w:r w:rsidRPr="008E6E1A">
          <w:rPr>
            <w:rStyle w:val="Hyperlink"/>
          </w:rPr>
          <w:t>Source</w:t>
        </w:r>
      </w:hyperlink>
      <w:r>
        <w:t xml:space="preserve">. </w:t>
      </w:r>
    </w:p>
    <w:p w14:paraId="179F1669" w14:textId="77777777" w:rsidR="008E6E1A" w:rsidRDefault="008E6E1A">
      <w:pPr>
        <w:pStyle w:val="CommentText"/>
      </w:pPr>
    </w:p>
    <w:p w14:paraId="0EFF1F1C" w14:textId="7DB804DA" w:rsidR="00442524" w:rsidRDefault="008E6E1A">
      <w:pPr>
        <w:pStyle w:val="CommentText"/>
      </w:pPr>
      <w:r>
        <w:t>Prior’s</w:t>
      </w:r>
      <w:r w:rsidRPr="008E6E1A">
        <w:t xml:space="preserve"> page is on philosophical writing, but the above-quoted advice is relevant to academic writing in general.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89729E3" w15:done="0"/>
  <w15:commentEx w15:paraId="0BFECD08" w15:done="0"/>
  <w15:commentEx w15:paraId="2052397D" w15:done="0"/>
  <w15:commentEx w15:paraId="292FE5F4" w15:done="0"/>
  <w15:commentEx w15:paraId="1FAC846E" w15:done="0"/>
  <w15:commentEx w15:paraId="725BF499" w15:done="0"/>
  <w15:commentEx w15:paraId="7F345509" w15:done="0"/>
  <w15:commentEx w15:paraId="3E2FADF1" w15:done="0"/>
  <w15:commentEx w15:paraId="6A40294A" w15:done="0"/>
  <w15:commentEx w15:paraId="25B72338" w15:done="0"/>
  <w15:commentEx w15:paraId="0A7FF72D" w15:done="0"/>
  <w15:commentEx w15:paraId="00433874" w15:done="0"/>
  <w15:commentEx w15:paraId="59B81785" w15:done="0"/>
  <w15:commentEx w15:paraId="72DFE5DE" w15:done="0"/>
  <w15:commentEx w15:paraId="669D1945" w15:done="0"/>
  <w15:commentEx w15:paraId="4266EE09" w15:done="0"/>
  <w15:commentEx w15:paraId="0EFF1F1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7E328" w16cex:dateUtc="2022-05-13T02:48:00Z"/>
  <w16cex:commentExtensible w16cex:durableId="2627E464" w16cex:dateUtc="2022-05-13T02:54:00Z"/>
  <w16cex:commentExtensible w16cex:durableId="262E0DF9" w16cex:dateUtc="2022-05-17T19:05:00Z"/>
  <w16cex:commentExtensible w16cex:durableId="262E0EAD" w16cex:dateUtc="2022-05-17T19:08:00Z"/>
  <w16cex:commentExtensible w16cex:durableId="262E0EE7" w16cex:dateUtc="2022-05-17T19:09:00Z"/>
  <w16cex:commentExtensible w16cex:durableId="262E119D" w16cex:dateUtc="2022-05-17T19:20:00Z"/>
  <w16cex:commentExtensible w16cex:durableId="262E1DB0" w16cex:dateUtc="2022-05-17T20:12:00Z"/>
  <w16cex:commentExtensible w16cex:durableId="262E1EA5" w16cex:dateUtc="2022-05-17T20:16:00Z"/>
  <w16cex:commentExtensible w16cex:durableId="262E1EC4" w16cex:dateUtc="2022-05-17T20:16:00Z"/>
  <w16cex:commentExtensible w16cex:durableId="262E205C" w16cex:dateUtc="2022-05-17T20:23:00Z"/>
  <w16cex:commentExtensible w16cex:durableId="262E1B8D" w16cex:dateUtc="2022-05-17T20:03:00Z"/>
  <w16cex:commentExtensible w16cex:durableId="262E2766" w16cex:dateUtc="2022-05-17T20:53:00Z"/>
  <w16cex:commentExtensible w16cex:durableId="262E3465" w16cex:dateUtc="2022-05-17T21:49:00Z"/>
  <w16cex:commentExtensible w16cex:durableId="262E26E7" w16cex:dateUtc="2022-05-17T20:51:00Z"/>
  <w16cex:commentExtensible w16cex:durableId="262E294A" w16cex:dateUtc="2022-05-17T21:01:00Z"/>
  <w16cex:commentExtensible w16cex:durableId="2630B35B" w16cex:dateUtc="2022-05-19T19:15:00Z"/>
  <w16cex:commentExtensible w16cex:durableId="2630B46F" w16cex:dateUtc="2022-05-19T19: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89729E3" w16cid:durableId="2627E328"/>
  <w16cid:commentId w16cid:paraId="0BFECD08" w16cid:durableId="2627E464"/>
  <w16cid:commentId w16cid:paraId="2052397D" w16cid:durableId="262E0DF9"/>
  <w16cid:commentId w16cid:paraId="292FE5F4" w16cid:durableId="262E0EAD"/>
  <w16cid:commentId w16cid:paraId="1FAC846E" w16cid:durableId="262E0EE7"/>
  <w16cid:commentId w16cid:paraId="725BF499" w16cid:durableId="262E119D"/>
  <w16cid:commentId w16cid:paraId="7F345509" w16cid:durableId="262E1DB0"/>
  <w16cid:commentId w16cid:paraId="3E2FADF1" w16cid:durableId="262E1EA5"/>
  <w16cid:commentId w16cid:paraId="6A40294A" w16cid:durableId="262E1EC4"/>
  <w16cid:commentId w16cid:paraId="25B72338" w16cid:durableId="262E205C"/>
  <w16cid:commentId w16cid:paraId="0A7FF72D" w16cid:durableId="262E1B8D"/>
  <w16cid:commentId w16cid:paraId="00433874" w16cid:durableId="262E2766"/>
  <w16cid:commentId w16cid:paraId="59B81785" w16cid:durableId="262E3465"/>
  <w16cid:commentId w16cid:paraId="72DFE5DE" w16cid:durableId="262E26E7"/>
  <w16cid:commentId w16cid:paraId="669D1945" w16cid:durableId="262E294A"/>
  <w16cid:commentId w16cid:paraId="4266EE09" w16cid:durableId="2630B35B"/>
  <w16cid:commentId w16cid:paraId="0EFF1F1C" w16cid:durableId="2630B46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raduate Writing Specialist">
    <w15:presenceInfo w15:providerId="None" w15:userId="Graduate Wri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297"/>
    <w:rsid w:val="000046BE"/>
    <w:rsid w:val="000150AF"/>
    <w:rsid w:val="000F6108"/>
    <w:rsid w:val="000F6F30"/>
    <w:rsid w:val="0014711E"/>
    <w:rsid w:val="001C66E0"/>
    <w:rsid w:val="00267418"/>
    <w:rsid w:val="00326FEF"/>
    <w:rsid w:val="00360DC2"/>
    <w:rsid w:val="003802B3"/>
    <w:rsid w:val="003F4297"/>
    <w:rsid w:val="00401849"/>
    <w:rsid w:val="004123B3"/>
    <w:rsid w:val="00413350"/>
    <w:rsid w:val="004137C6"/>
    <w:rsid w:val="00442524"/>
    <w:rsid w:val="00442C9F"/>
    <w:rsid w:val="00492C9E"/>
    <w:rsid w:val="004C34FA"/>
    <w:rsid w:val="004C3FAD"/>
    <w:rsid w:val="00534B2F"/>
    <w:rsid w:val="00645F5C"/>
    <w:rsid w:val="006512C8"/>
    <w:rsid w:val="00705BB8"/>
    <w:rsid w:val="00715285"/>
    <w:rsid w:val="0072530B"/>
    <w:rsid w:val="00751736"/>
    <w:rsid w:val="007C3AF0"/>
    <w:rsid w:val="0083073C"/>
    <w:rsid w:val="00864885"/>
    <w:rsid w:val="008C172A"/>
    <w:rsid w:val="008C3AF1"/>
    <w:rsid w:val="008E2450"/>
    <w:rsid w:val="008E6E1A"/>
    <w:rsid w:val="00987A0F"/>
    <w:rsid w:val="009E6739"/>
    <w:rsid w:val="009F57EA"/>
    <w:rsid w:val="00A51481"/>
    <w:rsid w:val="00A84C92"/>
    <w:rsid w:val="00AE2E6E"/>
    <w:rsid w:val="00B567DC"/>
    <w:rsid w:val="00BC437E"/>
    <w:rsid w:val="00BE3FB8"/>
    <w:rsid w:val="00C408E8"/>
    <w:rsid w:val="00C4487C"/>
    <w:rsid w:val="00CE143D"/>
    <w:rsid w:val="00D462D8"/>
    <w:rsid w:val="00D478CA"/>
    <w:rsid w:val="00D80205"/>
    <w:rsid w:val="00DC7A83"/>
    <w:rsid w:val="00E078BB"/>
    <w:rsid w:val="00EC1EB9"/>
    <w:rsid w:val="00EE2104"/>
    <w:rsid w:val="00F35FA0"/>
    <w:rsid w:val="00F4083B"/>
    <w:rsid w:val="00F82E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91981"/>
  <w15:chartTrackingRefBased/>
  <w15:docId w15:val="{38AB3B57-E788-466E-9164-9CD7B9E8E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3AF0"/>
    <w:rPr>
      <w:color w:val="0563C1" w:themeColor="hyperlink"/>
      <w:u w:val="single"/>
    </w:rPr>
  </w:style>
  <w:style w:type="character" w:styleId="UnresolvedMention">
    <w:name w:val="Unresolved Mention"/>
    <w:basedOn w:val="DefaultParagraphFont"/>
    <w:uiPriority w:val="99"/>
    <w:semiHidden/>
    <w:unhideWhenUsed/>
    <w:rsid w:val="007C3AF0"/>
    <w:rPr>
      <w:color w:val="605E5C"/>
      <w:shd w:val="clear" w:color="auto" w:fill="E1DFDD"/>
    </w:rPr>
  </w:style>
  <w:style w:type="character" w:styleId="FollowedHyperlink">
    <w:name w:val="FollowedHyperlink"/>
    <w:basedOn w:val="DefaultParagraphFont"/>
    <w:uiPriority w:val="99"/>
    <w:semiHidden/>
    <w:unhideWhenUsed/>
    <w:rsid w:val="007C3AF0"/>
    <w:rPr>
      <w:color w:val="954F72" w:themeColor="followedHyperlink"/>
      <w:u w:val="single"/>
    </w:rPr>
  </w:style>
  <w:style w:type="character" w:styleId="CommentReference">
    <w:name w:val="annotation reference"/>
    <w:basedOn w:val="DefaultParagraphFont"/>
    <w:uiPriority w:val="99"/>
    <w:semiHidden/>
    <w:unhideWhenUsed/>
    <w:rsid w:val="004C34FA"/>
    <w:rPr>
      <w:sz w:val="16"/>
      <w:szCs w:val="16"/>
    </w:rPr>
  </w:style>
  <w:style w:type="paragraph" w:styleId="CommentText">
    <w:name w:val="annotation text"/>
    <w:basedOn w:val="Normal"/>
    <w:link w:val="CommentTextChar"/>
    <w:uiPriority w:val="99"/>
    <w:semiHidden/>
    <w:unhideWhenUsed/>
    <w:rsid w:val="004C34FA"/>
    <w:pPr>
      <w:spacing w:line="240" w:lineRule="auto"/>
    </w:pPr>
    <w:rPr>
      <w:sz w:val="20"/>
      <w:szCs w:val="20"/>
    </w:rPr>
  </w:style>
  <w:style w:type="character" w:customStyle="1" w:styleId="CommentTextChar">
    <w:name w:val="Comment Text Char"/>
    <w:basedOn w:val="DefaultParagraphFont"/>
    <w:link w:val="CommentText"/>
    <w:uiPriority w:val="99"/>
    <w:semiHidden/>
    <w:rsid w:val="004C34FA"/>
    <w:rPr>
      <w:sz w:val="20"/>
      <w:szCs w:val="20"/>
    </w:rPr>
  </w:style>
  <w:style w:type="paragraph" w:styleId="CommentSubject">
    <w:name w:val="annotation subject"/>
    <w:basedOn w:val="CommentText"/>
    <w:next w:val="CommentText"/>
    <w:link w:val="CommentSubjectChar"/>
    <w:uiPriority w:val="99"/>
    <w:semiHidden/>
    <w:unhideWhenUsed/>
    <w:rsid w:val="004C34FA"/>
    <w:rPr>
      <w:b/>
      <w:bCs/>
    </w:rPr>
  </w:style>
  <w:style w:type="character" w:customStyle="1" w:styleId="CommentSubjectChar">
    <w:name w:val="Comment Subject Char"/>
    <w:basedOn w:val="CommentTextChar"/>
    <w:link w:val="CommentSubject"/>
    <w:uiPriority w:val="99"/>
    <w:semiHidden/>
    <w:rsid w:val="004C34F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comments.xml.rels><?xml version="1.0" encoding="UTF-8" standalone="yes"?>
<Relationships xmlns="http://schemas.openxmlformats.org/package/2006/relationships"><Relationship Id="rId2" Type="http://schemas.openxmlformats.org/officeDocument/2006/relationships/hyperlink" Target="http://www.jimpryor.net/teaching/guidelines/writing.html" TargetMode="External"/><Relationship Id="rId1" Type="http://schemas.openxmlformats.org/officeDocument/2006/relationships/hyperlink" Target="https://apastyle.apa.org/style-grammar-guidelines/paper-format/headings" TargetMode="External"/></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TotalTime>
  <Pages>3</Pages>
  <Words>544</Words>
  <Characters>3101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CSULB</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Graduate Writing Specialist</dc:creator>
  <cp:keywords/>
  <dc:description/>
  <cp:lastModifiedBy>Graduate Writing Specialist</cp:lastModifiedBy>
  <cp:revision>39</cp:revision>
  <dcterms:created xsi:type="dcterms:W3CDTF">2022-05-13T01:52:00Z</dcterms:created>
  <dcterms:modified xsi:type="dcterms:W3CDTF">2022-05-19T19:25:00Z</dcterms:modified>
</cp:coreProperties>
</file>